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3" w:rsidRDefault="00FD5363" w:rsidP="00FD5363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953"/>
      </w:tblGrid>
      <w:tr w:rsidR="00FD5363" w:rsidRPr="00B54A9A" w:rsidTr="00FD5363">
        <w:trPr>
          <w:trHeight w:val="1609"/>
          <w:jc w:val="center"/>
        </w:trPr>
        <w:tc>
          <w:tcPr>
            <w:tcW w:w="12953" w:type="dxa"/>
          </w:tcPr>
          <w:p w:rsidR="00FD5363" w:rsidRDefault="00FD5363" w:rsidP="00FD5363">
            <w:pPr>
              <w:pStyle w:val="Default"/>
              <w:jc w:val="center"/>
              <w:rPr>
                <w:b/>
                <w:sz w:val="44"/>
                <w:szCs w:val="44"/>
                <w:lang w:val="fr-FR"/>
              </w:rPr>
            </w:pPr>
            <w:r w:rsidRPr="00FD5363">
              <w:rPr>
                <w:b/>
                <w:sz w:val="44"/>
                <w:szCs w:val="44"/>
                <w:lang w:val="fr-FR"/>
              </w:rPr>
              <w:t xml:space="preserve">MINISTERE DE L’ENSEIGNEMENT SUPERIEUR ET DE LA RECHERCHE SCIENTIFIQUE </w:t>
            </w:r>
          </w:p>
          <w:p w:rsidR="00FD5363" w:rsidRDefault="00FD5363" w:rsidP="00FD5363">
            <w:pPr>
              <w:pStyle w:val="Default"/>
              <w:jc w:val="center"/>
              <w:rPr>
                <w:b/>
                <w:sz w:val="44"/>
                <w:szCs w:val="44"/>
                <w:lang w:val="fr-FR"/>
              </w:rPr>
            </w:pPr>
            <w:r w:rsidRPr="00FD5363">
              <w:rPr>
                <w:b/>
                <w:sz w:val="44"/>
                <w:szCs w:val="44"/>
                <w:lang w:val="fr-FR"/>
              </w:rPr>
              <w:t xml:space="preserve">DIRECTION GENERALE DE LA RENOVATION UNIVERSITAIRE </w:t>
            </w:r>
          </w:p>
          <w:p w:rsidR="0081545B" w:rsidRDefault="0081545B" w:rsidP="00FD5363">
            <w:pPr>
              <w:pStyle w:val="Default"/>
              <w:jc w:val="center"/>
              <w:rPr>
                <w:b/>
                <w:sz w:val="44"/>
                <w:szCs w:val="44"/>
                <w:lang w:val="fr-FR"/>
              </w:rPr>
            </w:pPr>
          </w:p>
          <w:p w:rsidR="00FD5363" w:rsidRPr="0081545B" w:rsidRDefault="00FD5363" w:rsidP="00FD5363">
            <w:pPr>
              <w:pStyle w:val="Default"/>
              <w:jc w:val="center"/>
              <w:rPr>
                <w:b/>
                <w:sz w:val="56"/>
                <w:szCs w:val="56"/>
                <w:lang w:val="fr-FR"/>
              </w:rPr>
            </w:pPr>
            <w:r w:rsidRPr="0081545B">
              <w:rPr>
                <w:b/>
                <w:sz w:val="56"/>
                <w:szCs w:val="56"/>
                <w:lang w:val="fr-FR"/>
              </w:rPr>
              <w:t xml:space="preserve">COMMISSION NATIONALE SECTORIELLE </w:t>
            </w:r>
          </w:p>
          <w:p w:rsidR="00FD5363" w:rsidRPr="00FD5363" w:rsidRDefault="00FD5363" w:rsidP="00FD5363">
            <w:pPr>
              <w:pStyle w:val="Default"/>
              <w:jc w:val="center"/>
              <w:rPr>
                <w:b/>
                <w:sz w:val="44"/>
                <w:szCs w:val="44"/>
                <w:lang w:val="fr-FR"/>
              </w:rPr>
            </w:pPr>
            <w:r w:rsidRPr="0081545B">
              <w:rPr>
                <w:b/>
                <w:sz w:val="56"/>
                <w:szCs w:val="56"/>
                <w:lang w:val="fr-FR"/>
              </w:rPr>
              <w:t xml:space="preserve">DE PSYCHOLOGIE ET </w:t>
            </w:r>
            <w:r w:rsidR="00857D18" w:rsidRPr="0081545B">
              <w:rPr>
                <w:b/>
                <w:sz w:val="56"/>
                <w:szCs w:val="56"/>
                <w:lang w:val="fr-FR"/>
              </w:rPr>
              <w:t>DES SCIENCES DE l’</w:t>
            </w:r>
            <w:r w:rsidRPr="0081545B">
              <w:rPr>
                <w:b/>
                <w:sz w:val="56"/>
                <w:szCs w:val="56"/>
                <w:lang w:val="fr-FR"/>
              </w:rPr>
              <w:t>EDUCATION</w:t>
            </w:r>
          </w:p>
        </w:tc>
      </w:tr>
    </w:tbl>
    <w:p w:rsidR="00E17620" w:rsidRPr="00ED1ACA" w:rsidRDefault="00E17620">
      <w:pPr>
        <w:rPr>
          <w:lang w:val="fr-FR"/>
        </w:rPr>
      </w:pPr>
    </w:p>
    <w:p w:rsidR="00E17620" w:rsidRPr="00ED1ACA" w:rsidRDefault="00E17620">
      <w:pPr>
        <w:rPr>
          <w:lang w:val="fr-FR"/>
        </w:rPr>
      </w:pPr>
    </w:p>
    <w:tbl>
      <w:tblPr>
        <w:tblpPr w:leftFromText="180" w:rightFromText="180" w:vertAnchor="text" w:horzAnchor="margin" w:tblpY="30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911"/>
      </w:tblGrid>
      <w:tr w:rsidR="00C9203B" w:rsidRPr="00857D18" w:rsidTr="00C9203B">
        <w:trPr>
          <w:trHeight w:val="1442"/>
        </w:trPr>
        <w:tc>
          <w:tcPr>
            <w:tcW w:w="12911" w:type="dxa"/>
          </w:tcPr>
          <w:p w:rsidR="00C9203B" w:rsidRPr="0081545B" w:rsidRDefault="00E17620" w:rsidP="00857D18">
            <w:pPr>
              <w:pStyle w:val="Default"/>
              <w:jc w:val="center"/>
              <w:rPr>
                <w:b/>
                <w:bCs/>
                <w:color w:val="002060"/>
                <w:sz w:val="44"/>
                <w:szCs w:val="44"/>
                <w:lang w:val="fr-FR"/>
              </w:rPr>
            </w:pPr>
            <w:r w:rsidRPr="0081545B">
              <w:rPr>
                <w:b/>
                <w:bCs/>
                <w:color w:val="002060"/>
                <w:sz w:val="44"/>
                <w:szCs w:val="44"/>
                <w:lang w:val="fr-FR"/>
              </w:rPr>
              <w:t>Programmes</w:t>
            </w:r>
            <w:r w:rsidR="00C9203B" w:rsidRPr="0081545B">
              <w:rPr>
                <w:b/>
                <w:bCs/>
                <w:color w:val="002060"/>
                <w:sz w:val="44"/>
                <w:szCs w:val="44"/>
                <w:lang w:val="fr-FR"/>
              </w:rPr>
              <w:t xml:space="preserve"> des nouvelles licences </w:t>
            </w:r>
          </w:p>
          <w:p w:rsidR="00857D18" w:rsidRDefault="00857D18" w:rsidP="00857D18">
            <w:pPr>
              <w:pStyle w:val="Default"/>
              <w:rPr>
                <w:b/>
                <w:bCs/>
                <w:color w:val="002060"/>
                <w:sz w:val="96"/>
                <w:szCs w:val="96"/>
                <w:lang w:val="fr-FR"/>
              </w:rPr>
            </w:pPr>
          </w:p>
          <w:p w:rsidR="00E17620" w:rsidRDefault="00E17620" w:rsidP="00C9203B">
            <w:pPr>
              <w:pStyle w:val="Default"/>
              <w:jc w:val="center"/>
              <w:rPr>
                <w:b/>
                <w:bCs/>
                <w:color w:val="auto"/>
                <w:sz w:val="44"/>
                <w:szCs w:val="44"/>
                <w:lang w:val="fr-FR"/>
              </w:rPr>
            </w:pPr>
          </w:p>
          <w:p w:rsidR="00E17620" w:rsidRDefault="00E17620" w:rsidP="00C9203B">
            <w:pPr>
              <w:pStyle w:val="Default"/>
              <w:jc w:val="center"/>
              <w:rPr>
                <w:b/>
                <w:bCs/>
                <w:color w:val="auto"/>
                <w:sz w:val="44"/>
                <w:szCs w:val="44"/>
                <w:lang w:val="fr-FR"/>
              </w:rPr>
            </w:pPr>
          </w:p>
          <w:p w:rsidR="00C9203B" w:rsidRDefault="00C9203B" w:rsidP="00C9203B">
            <w:pPr>
              <w:pStyle w:val="Default"/>
              <w:jc w:val="center"/>
              <w:rPr>
                <w:b/>
                <w:bCs/>
                <w:color w:val="auto"/>
                <w:sz w:val="44"/>
                <w:szCs w:val="44"/>
                <w:lang w:val="fr-FR"/>
              </w:rPr>
            </w:pPr>
            <w:r w:rsidRPr="00C9203B">
              <w:rPr>
                <w:b/>
                <w:bCs/>
                <w:color w:val="auto"/>
                <w:sz w:val="44"/>
                <w:szCs w:val="44"/>
                <w:lang w:val="fr-FR"/>
              </w:rPr>
              <w:t>Mars 2019</w:t>
            </w:r>
          </w:p>
          <w:p w:rsidR="00D73BCD" w:rsidRDefault="00D73BCD" w:rsidP="00E17620">
            <w:pPr>
              <w:pStyle w:val="Default"/>
              <w:rPr>
                <w:bCs/>
                <w:color w:val="auto"/>
                <w:sz w:val="28"/>
                <w:szCs w:val="28"/>
                <w:lang w:val="fr-FR"/>
              </w:rPr>
            </w:pPr>
          </w:p>
          <w:p w:rsidR="00E17620" w:rsidRDefault="00E17620" w:rsidP="00E17620">
            <w:pPr>
              <w:pStyle w:val="Default"/>
              <w:rPr>
                <w:bCs/>
                <w:color w:val="auto"/>
                <w:sz w:val="28"/>
                <w:szCs w:val="28"/>
                <w:lang w:val="fr-FR"/>
              </w:rPr>
            </w:pPr>
            <w:r>
              <w:rPr>
                <w:bCs/>
                <w:color w:val="auto"/>
                <w:sz w:val="28"/>
                <w:szCs w:val="28"/>
                <w:lang w:val="fr-FR"/>
              </w:rPr>
              <w:lastRenderedPageBreak/>
              <w:t>Préambule </w:t>
            </w:r>
          </w:p>
          <w:p w:rsidR="00393A79" w:rsidRDefault="00393A79" w:rsidP="00393A79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5F07AD" w:rsidRPr="005F07AD" w:rsidRDefault="005F07AD" w:rsidP="005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fr-FR"/>
              </w:rPr>
            </w:pPr>
          </w:p>
          <w:tbl>
            <w:tblPr>
              <w:tblW w:w="128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828"/>
            </w:tblGrid>
            <w:tr w:rsidR="005F07AD" w:rsidRPr="00B54A9A" w:rsidTr="005F07AD">
              <w:trPr>
                <w:trHeight w:val="605"/>
              </w:trPr>
              <w:tc>
                <w:tcPr>
                  <w:tcW w:w="12828" w:type="dxa"/>
                </w:tcPr>
                <w:p w:rsidR="005F07AD" w:rsidRPr="005F07AD" w:rsidRDefault="005F07AD" w:rsidP="00857D18">
                  <w:pPr>
                    <w:pStyle w:val="Default"/>
                    <w:framePr w:hSpace="180" w:wrap="around" w:vAnchor="text" w:hAnchor="margin" w:y="304"/>
                    <w:jc w:val="both"/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</w:pPr>
                  <w:r w:rsidRPr="005F07AD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>Ce guide est destiné aux établissements de l’enseignement supérieur qui délivrent des</w:t>
                  </w:r>
                  <w:r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licences</w:t>
                  </w:r>
                  <w:r w:rsidR="00857D18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en Psychologie, en sciences de l’Education, </w:t>
                  </w:r>
                  <w:r w:rsidR="00B54A9A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>en Education Spécialisée, en Accompagnement Educatif,</w:t>
                  </w:r>
                  <w:r w:rsidR="00857D18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en Médiation</w:t>
                  </w:r>
                  <w:r w:rsidR="00B54A9A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et en </w:t>
                  </w:r>
                  <w:proofErr w:type="spellStart"/>
                  <w:r w:rsidR="00B54A9A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>Anomation</w:t>
                  </w:r>
                  <w:proofErr w:type="spellEnd"/>
                  <w:r w:rsidR="00857D18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. </w:t>
                  </w:r>
                  <w:r w:rsidRPr="005F07AD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Il présente les lignes directrices de la réforme de ces licences telle qu’elle a été conçue par les membres de la commission nationale sectorielle en </w:t>
                  </w:r>
                  <w:r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>Psychologie et</w:t>
                  </w:r>
                  <w:r w:rsidR="00857D18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Sciences de</w:t>
                  </w:r>
                  <w:r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 </w:t>
                  </w:r>
                  <w:r w:rsidR="00857D18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>l’</w:t>
                  </w:r>
                  <w:r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Education </w:t>
                  </w:r>
                  <w:r w:rsidRPr="005F07AD">
                    <w:rPr>
                      <w:rFonts w:asciiTheme="majorHAnsi" w:hAnsiTheme="majorHAnsi"/>
                      <w:color w:val="555555"/>
                      <w:sz w:val="28"/>
                      <w:szCs w:val="28"/>
                      <w:shd w:val="clear" w:color="auto" w:fill="FFFFFF"/>
                      <w:lang w:val="fr-FR"/>
                    </w:rPr>
                    <w:t xml:space="preserve">dans l’esprit de la réforme des programmes énoncée par le ministère de l’enseignement supérieur et de la recherche scientifique, notamment dans sa circulaire 60 (disponible sur le site du ministère). </w:t>
                  </w:r>
                </w:p>
              </w:tc>
            </w:tr>
          </w:tbl>
          <w:p w:rsidR="00A04D53" w:rsidRDefault="00A04D53" w:rsidP="00A04D53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A768EE" w:rsidRPr="005F07AD" w:rsidRDefault="00A768EE" w:rsidP="005F07AD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172099" w:rsidRPr="00E83E43" w:rsidRDefault="00172099" w:rsidP="00172099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L’originalité de ces</w:t>
            </w:r>
            <w:r w:rsidR="002D517D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 xml:space="preserve"> parcours </w:t>
            </w: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réside dans leur mode d’élaboration, fondé sur la mise en place de partenariats étroits entre les </w:t>
            </w:r>
            <w:r w:rsidRPr="00E83E43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universités d’un côté</w:t>
            </w: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 xml:space="preserve">, et les </w:t>
            </w:r>
            <w:r w:rsidRPr="00E83E43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entreprises et branches professionnelles de l’autre</w:t>
            </w:r>
            <w:r w:rsidRPr="002D517D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 xml:space="preserve"> (Santé, Education, affaires sociales, jeunesses, </w:t>
            </w:r>
            <w:r w:rsidR="002D517D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 xml:space="preserve">Associations, </w:t>
            </w:r>
            <w:r w:rsidR="003000D4" w:rsidRPr="002D517D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etc.</w:t>
            </w:r>
            <w:r w:rsidRPr="002D517D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…)</w:t>
            </w: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. Ce qui signifie qu’une licence ne se créée que si elle correspond à des bes</w:t>
            </w:r>
            <w:r w:rsidR="002E04BC"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 xml:space="preserve">oins clairement exprimés par l’environnement </w:t>
            </w:r>
            <w:r w:rsidR="00E83E43"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socioéconomique</w:t>
            </w:r>
            <w:r w:rsidR="002E04BC"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.</w:t>
            </w:r>
          </w:p>
          <w:p w:rsidR="00E83E43" w:rsidRPr="00E83E43" w:rsidRDefault="00E83E43" w:rsidP="00E83E43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E83E43" w:rsidRPr="00E83E43" w:rsidRDefault="00E83E43" w:rsidP="00E83E43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Basée sur une </w:t>
            </w:r>
            <w:r w:rsidRPr="00E83E43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pédagogie innovante</w:t>
            </w: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>, ces licences se </w:t>
            </w:r>
            <w:r w:rsidRPr="00E83E43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prépare</w:t>
            </w:r>
            <w:r w:rsidRPr="00ED1ACA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>nt</w:t>
            </w:r>
            <w:r w:rsidRPr="00E83E43">
              <w:rPr>
                <w:rFonts w:asciiTheme="majorHAnsi" w:hAnsiTheme="majorHAnsi"/>
                <w:bCs/>
                <w:color w:val="555555"/>
                <w:sz w:val="28"/>
                <w:szCs w:val="28"/>
                <w:lang w:val="fr-FR"/>
              </w:rPr>
              <w:t xml:space="preserve"> </w:t>
            </w:r>
            <w:r w:rsidRPr="00E83E43"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  <w:t xml:space="preserve">en alternance (Théorie et Pratique professionnelle). Les enseignements seront dispensés par des intervenants académiques et professionnels. </w:t>
            </w:r>
          </w:p>
          <w:p w:rsidR="00B54A9A" w:rsidRDefault="00B54A9A" w:rsidP="00932420">
            <w:pPr>
              <w:pStyle w:val="Default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E17620" w:rsidRDefault="00E17620" w:rsidP="00932420">
            <w:pPr>
              <w:pStyle w:val="Default"/>
              <w:rPr>
                <w:bCs/>
                <w:color w:val="auto"/>
                <w:sz w:val="28"/>
                <w:szCs w:val="28"/>
                <w:lang w:val="fr-FR"/>
              </w:rPr>
            </w:pPr>
            <w:r w:rsidRPr="0016733E">
              <w:rPr>
                <w:b/>
                <w:bCs/>
                <w:color w:val="auto"/>
                <w:sz w:val="28"/>
                <w:szCs w:val="28"/>
                <w:lang w:val="fr-FR"/>
              </w:rPr>
              <w:t xml:space="preserve">Architecture globale </w:t>
            </w:r>
          </w:p>
          <w:p w:rsidR="00E17620" w:rsidRDefault="00E17620" w:rsidP="003D2334">
            <w:pPr>
              <w:pStyle w:val="Default"/>
              <w:rPr>
                <w:bCs/>
                <w:color w:val="auto"/>
                <w:sz w:val="28"/>
                <w:szCs w:val="28"/>
                <w:lang w:val="fr-FR"/>
              </w:rPr>
            </w:pPr>
          </w:p>
          <w:p w:rsidR="006A583A" w:rsidRDefault="006A583A" w:rsidP="006428ED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6A583A" w:rsidRDefault="006A583A" w:rsidP="006428ED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393A79" w:rsidRDefault="00393A79" w:rsidP="006A583A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6A583A" w:rsidRDefault="006A583A" w:rsidP="006A583A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76240E" w:rsidRDefault="0076240E" w:rsidP="006A583A">
            <w:pPr>
              <w:pStyle w:val="Default"/>
              <w:jc w:val="both"/>
              <w:rPr>
                <w:rFonts w:asciiTheme="majorHAnsi" w:hAnsiTheme="majorHAnsi"/>
                <w:color w:val="555555"/>
                <w:sz w:val="28"/>
                <w:szCs w:val="28"/>
                <w:shd w:val="clear" w:color="auto" w:fill="FFFFFF"/>
                <w:lang w:val="fr-FR"/>
              </w:rPr>
            </w:pPr>
          </w:p>
          <w:p w:rsidR="006A583A" w:rsidRPr="006A69B5" w:rsidRDefault="00563FDF" w:rsidP="000532C3">
            <w:pPr>
              <w:pStyle w:val="Default"/>
              <w:jc w:val="center"/>
              <w:rPr>
                <w:b/>
                <w:color w:val="002060"/>
                <w:sz w:val="28"/>
                <w:szCs w:val="28"/>
                <w:lang w:val="fr-FR"/>
              </w:rPr>
            </w:pPr>
            <w:r w:rsidRPr="00563FDF">
              <w:rPr>
                <w:b/>
                <w:noProof/>
                <w:sz w:val="28"/>
                <w:szCs w:val="28"/>
                <w:highlight w:val="yellow"/>
              </w:rPr>
              <w:lastRenderedPageBreak/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6" type="#_x0000_t34" style="position:absolute;left:0;text-align:left;margin-left:585.65pt;margin-top:99.3pt;width:74.05pt;height:17.65pt;rotation:90;z-index:251677696" o:connectortype="elbow" adj="10793,-173718,-23379"/>
              </w:pict>
            </w:r>
            <w:r w:rsidRPr="00563FDF">
              <w:rPr>
                <w:b/>
                <w:noProof/>
                <w:sz w:val="28"/>
                <w:szCs w:val="28"/>
                <w:highlight w:val="yellow"/>
              </w:rPr>
              <w:pict>
                <v:shape id="_x0000_s1045" type="#_x0000_t34" style="position:absolute;left:0;text-align:left;margin-left:418.55pt;margin-top:99.3pt;width:74.05pt;height:17.65pt;rotation:90;z-index:251676672" o:connectortype="elbow" adj="10793,-173718,-23379"/>
              </w:pict>
            </w:r>
            <w:r w:rsidRPr="00563FDF">
              <w:rPr>
                <w:b/>
                <w:noProof/>
                <w:sz w:val="28"/>
                <w:szCs w:val="28"/>
                <w:highlight w:val="yellow"/>
              </w:rPr>
              <w:pict>
                <v:shape id="_x0000_s1044" type="#_x0000_t34" style="position:absolute;left:0;text-align:left;margin-left:250.75pt;margin-top:99.3pt;width:74.05pt;height:17.65pt;rotation:90;z-index:251675648" o:connectortype="elbow" adj="10793,-173718,-23379"/>
              </w:pict>
            </w:r>
            <w:r w:rsidRPr="00563FDF">
              <w:rPr>
                <w:b/>
                <w:noProof/>
                <w:color w:val="002060"/>
                <w:sz w:val="28"/>
                <w:szCs w:val="28"/>
                <w:highlight w:val="yellow"/>
              </w:rPr>
              <w:pict>
                <v:shape id="_x0000_s1043" type="#_x0000_t34" style="position:absolute;left:0;text-align:left;margin-left:113.55pt;margin-top:99.3pt;width:74.05pt;height:17.65pt;rotation:90;z-index:251674624" o:connectortype="elbow" adj="10793,-173718,-23379"/>
              </w:pict>
            </w:r>
            <w:r w:rsidRPr="00563FDF">
              <w:rPr>
                <w:b/>
                <w:noProof/>
                <w:color w:val="002060"/>
                <w:sz w:val="28"/>
                <w:szCs w:val="28"/>
                <w:highlight w:val="yellow"/>
              </w:rPr>
              <w:pict>
                <v:shape id="_x0000_s1042" type="#_x0000_t34" style="position:absolute;left:0;text-align:left;margin-left:-36.55pt;margin-top:99.3pt;width:74.05pt;height:17.65pt;rotation:90;z-index:251673600" o:connectortype="elbow" adj="10793,-173718,-23379"/>
              </w:pict>
            </w:r>
            <w:r w:rsidR="000532C3" w:rsidRPr="006A69B5">
              <w:rPr>
                <w:b/>
                <w:color w:val="002060"/>
                <w:sz w:val="28"/>
                <w:szCs w:val="28"/>
                <w:highlight w:val="yellow"/>
                <w:lang w:val="fr-FR"/>
              </w:rPr>
              <w:t>Domaine</w:t>
            </w:r>
          </w:p>
        </w:tc>
      </w:tr>
    </w:tbl>
    <w:p w:rsidR="0098327E" w:rsidRDefault="00563FDF" w:rsidP="00C9203B">
      <w:pPr>
        <w:rPr>
          <w:b/>
          <w:sz w:val="28"/>
          <w:szCs w:val="28"/>
          <w:lang w:val="fr-FR"/>
        </w:rPr>
      </w:pPr>
      <w:r w:rsidRPr="00563FDF">
        <w:rPr>
          <w:noProof/>
          <w:color w:val="002060"/>
          <w:sz w:val="28"/>
          <w:szCs w:val="28"/>
        </w:rPr>
        <w:lastRenderedPageBreak/>
        <w:pict>
          <v:roundrect id="_x0000_s1027" style="position:absolute;margin-left:-25.35pt;margin-top:22.1pt;width:708.45pt;height:49pt;z-index:251658240;mso-position-horizontal-relative:text;mso-position-vertical-relative:text" arcsize="10923f">
            <v:textbox>
              <w:txbxContent>
                <w:p w:rsidR="00F70956" w:rsidRPr="00F70956" w:rsidRDefault="00F70956" w:rsidP="00F70956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F70956">
                    <w:rPr>
                      <w:sz w:val="28"/>
                      <w:szCs w:val="28"/>
                      <w:lang w:val="fr-FR"/>
                    </w:rPr>
                    <w:t>Sciences Humaines et Sociales</w:t>
                  </w:r>
                </w:p>
              </w:txbxContent>
            </v:textbox>
          </v:roundrect>
        </w:pict>
      </w:r>
    </w:p>
    <w:p w:rsidR="00E17620" w:rsidRDefault="000532C3" w:rsidP="000532C3">
      <w:pPr>
        <w:jc w:val="center"/>
        <w:rPr>
          <w:b/>
          <w:sz w:val="28"/>
          <w:szCs w:val="28"/>
          <w:lang w:val="fr-FR"/>
        </w:rPr>
      </w:pPr>
      <w:r w:rsidRPr="006A69B5">
        <w:rPr>
          <w:b/>
          <w:sz w:val="28"/>
          <w:szCs w:val="28"/>
          <w:highlight w:val="yellow"/>
          <w:lang w:val="fr-FR"/>
        </w:rPr>
        <w:t>Mentions</w:t>
      </w:r>
    </w:p>
    <w:p w:rsidR="00F70956" w:rsidRDefault="00563FDF">
      <w:pPr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w:pict>
          <v:roundrect id="_x0000_s1034" style="position:absolute;margin-left:556.75pt;margin-top:13.75pt;width:142.65pt;height:42.1pt;z-index:251665408" arcsize="10923f">
            <v:textbox style="mso-next-textbox:#_x0000_s1034">
              <w:txbxContent>
                <w:p w:rsidR="000532C3" w:rsidRPr="000532C3" w:rsidRDefault="000532C3" w:rsidP="000532C3">
                  <w:pPr>
                    <w:ind w:firstLine="72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Enfance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1" style="position:absolute;margin-left:365.95pt;margin-top:13.75pt;width:181.3pt;height:42.1pt;z-index:251662336" arcsize="10923f">
            <v:textbox style="mso-next-textbox:#_x0000_s1031">
              <w:txbxContent>
                <w:p w:rsidR="000532C3" w:rsidRPr="000532C3" w:rsidRDefault="000532C3" w:rsidP="000532C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Médiation et Animation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0" style="position:absolute;margin-left:223.7pt;margin-top:13.75pt;width:131.1pt;height:42.1pt;z-index:251661312" arcsize="10923f">
            <v:textbox style="mso-next-textbox:#_x0000_s1030">
              <w:txbxContent>
                <w:p w:rsidR="000532C3" w:rsidRPr="000532C3" w:rsidRDefault="000532C3" w:rsidP="000532C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Education spécialisé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28" style="position:absolute;margin-left:79.95pt;margin-top:13.75pt;width:131.1pt;height:42.1pt;z-index:251659264" arcsize="10923f">
            <v:textbox style="mso-next-textbox:#_x0000_s1028">
              <w:txbxContent>
                <w:p w:rsidR="000532C3" w:rsidRPr="000532C3" w:rsidRDefault="000532C3" w:rsidP="000532C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Psychologie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29" style="position:absolute;margin-left:-63.6pt;margin-top:13.75pt;width:131.1pt;height:42.1pt;z-index:251660288" arcsize="10923f">
            <v:textbox style="mso-next-textbox:#_x0000_s1029">
              <w:txbxContent>
                <w:p w:rsidR="000532C3" w:rsidRPr="000532C3" w:rsidRDefault="000532C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Sciences de l’Education</w:t>
                  </w:r>
                </w:p>
              </w:txbxContent>
            </v:textbox>
          </v:roundrect>
        </w:pict>
      </w:r>
    </w:p>
    <w:p w:rsidR="00F70956" w:rsidRDefault="00563FDF" w:rsidP="00F70956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w:pict>
          <v:shape id="_x0000_s1052" type="#_x0000_t34" style="position:absolute;left:0;text-align:left;margin-left:464.65pt;margin-top:57.2pt;width:79.65pt;height:17.65pt;rotation:90;z-index:251683840" o:connectortype="elbow" adj="10793,-315862,-158414"/>
        </w:pict>
      </w:r>
      <w:r>
        <w:rPr>
          <w:b/>
          <w:noProof/>
          <w:sz w:val="28"/>
          <w:szCs w:val="28"/>
          <w:lang w:val="en-US"/>
        </w:rPr>
        <w:pict>
          <v:shape id="_x0000_s1051" type="#_x0000_t34" style="position:absolute;left:0;text-align:left;margin-left:363.45pt;margin-top:57.2pt;width:79.65pt;height:17.65pt;rotation:90;z-index:251682816" o:connectortype="elbow" adj="10793,-315862,-130969"/>
        </w:pict>
      </w:r>
      <w:r>
        <w:rPr>
          <w:b/>
          <w:noProof/>
          <w:sz w:val="28"/>
          <w:szCs w:val="28"/>
          <w:lang w:val="en-US"/>
        </w:rPr>
        <w:pict>
          <v:shape id="_x0000_s1050" type="#_x0000_t34" style="position:absolute;left:0;text-align:left;margin-left:593.7pt;margin-top:57.2pt;width:79.65pt;height:17.65pt;rotation:90;z-index:251681792" o:connectortype="elbow" adj="10793,-315862,-193410"/>
        </w:pict>
      </w:r>
      <w:r>
        <w:rPr>
          <w:b/>
          <w:noProof/>
          <w:sz w:val="28"/>
          <w:szCs w:val="28"/>
          <w:lang w:val="en-US"/>
        </w:rPr>
        <w:pict>
          <v:shape id="_x0000_s1049" type="#_x0000_t34" style="position:absolute;left:0;text-align:left;margin-left:247.95pt;margin-top:57.2pt;width:79.65pt;height:17.65pt;rotation:90;z-index:251680768" o:connectortype="elbow" adj="10793,-315862,-99647"/>
        </w:pict>
      </w:r>
      <w:r>
        <w:rPr>
          <w:b/>
          <w:noProof/>
          <w:sz w:val="28"/>
          <w:szCs w:val="28"/>
          <w:lang w:val="en-US"/>
        </w:rPr>
        <w:pict>
          <v:shape id="_x0000_s1047" type="#_x0000_t34" style="position:absolute;left:0;text-align:left;margin-left:-56.35pt;margin-top:57.2pt;width:79.65pt;height:17.65pt;rotation:90;z-index:251678720" o:connectortype="elbow" adj="10793,-315862,-17125"/>
        </w:pict>
      </w:r>
      <w:r>
        <w:rPr>
          <w:b/>
          <w:noProof/>
          <w:sz w:val="28"/>
          <w:szCs w:val="28"/>
          <w:lang w:val="en-US"/>
        </w:rPr>
        <w:pict>
          <v:shape id="_x0000_s1048" type="#_x0000_t34" style="position:absolute;left:0;text-align:left;margin-left:101.25pt;margin-top:57.2pt;width:79.65pt;height:17.65pt;rotation:90;z-index:251679744" o:connectortype="elbow" adj="10793,-315862,-59864"/>
        </w:pict>
      </w:r>
    </w:p>
    <w:p w:rsidR="00F70956" w:rsidRDefault="00F70956" w:rsidP="00F70956">
      <w:pPr>
        <w:jc w:val="center"/>
        <w:rPr>
          <w:b/>
          <w:sz w:val="28"/>
          <w:szCs w:val="28"/>
          <w:lang w:val="fr-FR"/>
        </w:rPr>
      </w:pPr>
    </w:p>
    <w:p w:rsidR="00F70956" w:rsidRDefault="00F70956" w:rsidP="00F70956">
      <w:pPr>
        <w:jc w:val="center"/>
        <w:rPr>
          <w:b/>
          <w:sz w:val="28"/>
          <w:szCs w:val="28"/>
          <w:lang w:val="fr-FR"/>
        </w:rPr>
      </w:pPr>
      <w:r w:rsidRPr="006A69B5">
        <w:rPr>
          <w:b/>
          <w:sz w:val="28"/>
          <w:szCs w:val="28"/>
          <w:highlight w:val="yellow"/>
          <w:lang w:val="fr-FR"/>
        </w:rPr>
        <w:t>Spécialités</w:t>
      </w:r>
    </w:p>
    <w:p w:rsidR="00F70956" w:rsidRDefault="00563FDF" w:rsidP="00F70956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en-US"/>
        </w:rPr>
        <w:pict>
          <v:roundrect id="_x0000_s1041" style="position:absolute;left:0;text-align:left;margin-left:594.7pt;margin-top:16.9pt;width:101.3pt;height:42.1pt;z-index:251672576" arcsize="10923f">
            <v:textbox>
              <w:txbxContent>
                <w:p w:rsidR="00F70956" w:rsidRPr="00F70956" w:rsidRDefault="00F7095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Accompagnement Educatif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5" style="position:absolute;left:0;text-align:left;margin-left:361.2pt;margin-top:16.9pt;width:110pt;height:42.1pt;z-index:251666432" arcsize="10923f">
            <v:textbox>
              <w:txbxContent>
                <w:p w:rsidR="00F70956" w:rsidRPr="00F70956" w:rsidRDefault="00F70956">
                  <w:pPr>
                    <w:rPr>
                      <w:lang w:val="fr-FR"/>
                    </w:rPr>
                  </w:pPr>
                  <w:r w:rsidRPr="00F70956">
                    <w:rPr>
                      <w:sz w:val="20"/>
                      <w:szCs w:val="20"/>
                      <w:lang w:val="fr-FR"/>
                    </w:rPr>
                    <w:t>Médiation et Animation</w:t>
                  </w:r>
                  <w:r>
                    <w:rPr>
                      <w:lang w:val="fr-FR"/>
                    </w:rPr>
                    <w:t xml:space="preserve"> </w:t>
                  </w:r>
                  <w:r w:rsidRPr="00F70956">
                    <w:rPr>
                      <w:sz w:val="20"/>
                      <w:szCs w:val="20"/>
                      <w:lang w:val="fr-FR"/>
                    </w:rPr>
                    <w:t>Culturelle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7" style="position:absolute;left:0;text-align:left;margin-left:471.2pt;margin-top:16.9pt;width:101.4pt;height:42.1pt;z-index:251668480" arcsize="10923f">
            <v:textbox>
              <w:txbxContent>
                <w:p w:rsidR="00F70956" w:rsidRPr="00F70956" w:rsidRDefault="00F7095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Animation de la jeunesse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9" style="position:absolute;left:0;text-align:left;margin-left:-54.95pt;margin-top:16.9pt;width:101.6pt;height:42.1pt;z-index:251670528" arcsize="10923f">
            <v:textbox>
              <w:txbxContent>
                <w:p w:rsidR="00F70956" w:rsidRPr="000532C3" w:rsidRDefault="00F70956" w:rsidP="00F7095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Sciences de l’Education</w:t>
                  </w:r>
                </w:p>
                <w:p w:rsidR="00F70956" w:rsidRDefault="00F70956"/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8" style="position:absolute;left:0;text-align:left;margin-left:96.75pt;margin-top:16.9pt;width:102.05pt;height:42.1pt;z-index:251669504" arcsize="10923f">
            <v:textbox>
              <w:txbxContent>
                <w:p w:rsidR="00F70956" w:rsidRPr="000532C3" w:rsidRDefault="00F70956" w:rsidP="00F7095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Psychologie</w:t>
                  </w:r>
                </w:p>
                <w:p w:rsidR="00F70956" w:rsidRDefault="00F70956"/>
              </w:txbxContent>
            </v:textbox>
          </v:roundrect>
        </w:pict>
      </w:r>
      <w:r>
        <w:rPr>
          <w:b/>
          <w:noProof/>
          <w:sz w:val="28"/>
          <w:szCs w:val="28"/>
          <w:lang w:val="en-US"/>
        </w:rPr>
        <w:pict>
          <v:roundrect id="_x0000_s1032" style="position:absolute;left:0;text-align:left;margin-left:237.55pt;margin-top:16.9pt;width:103.25pt;height:42.1pt;z-index:251663360" arcsize="10923f">
            <v:textbox>
              <w:txbxContent>
                <w:p w:rsidR="00F70956" w:rsidRPr="000532C3" w:rsidRDefault="00F70956" w:rsidP="00F7095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Education spécialisé</w:t>
                  </w:r>
                </w:p>
                <w:p w:rsidR="00F70956" w:rsidRDefault="00F70956"/>
              </w:txbxContent>
            </v:textbox>
          </v:roundrect>
        </w:pict>
      </w:r>
    </w:p>
    <w:p w:rsidR="0076240E" w:rsidRDefault="0076240E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:rsidR="0076240E" w:rsidRPr="00FA7EFA" w:rsidRDefault="0076240E" w:rsidP="007624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lang w:val="fr-FR"/>
        </w:rPr>
      </w:pPr>
      <w:r w:rsidRPr="00FA7EF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 xml:space="preserve">Liste des membres de la commission nationale sectorielle en </w:t>
      </w: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Psychologie et Education</w:t>
      </w:r>
    </w:p>
    <w:p w:rsidR="0076240E" w:rsidRDefault="0076240E" w:rsidP="0076240E">
      <w:pPr>
        <w:pStyle w:val="Style2"/>
        <w:shd w:val="clear" w:color="CACACA" w:fill="FFFFFF"/>
        <w:spacing w:before="60" w:after="60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FA7EF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 xml:space="preserve">(Par </w:t>
      </w:r>
      <w:proofErr w:type="spellStart"/>
      <w:r w:rsidRPr="00FA7EF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ordre</w:t>
      </w:r>
      <w:proofErr w:type="spellEnd"/>
      <w:r w:rsidRPr="00FA7EF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FA7EF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alphabétique</w:t>
      </w:r>
      <w:proofErr w:type="spellEnd"/>
      <w:r w:rsidRPr="00FA7EF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)</w:t>
      </w:r>
    </w:p>
    <w:p w:rsidR="0076240E" w:rsidRDefault="0076240E" w:rsidP="0076240E">
      <w:pPr>
        <w:pStyle w:val="Style2"/>
        <w:shd w:val="clear" w:color="CACACA" w:fill="FFFFFF"/>
        <w:spacing w:before="60" w:after="60"/>
        <w:jc w:val="left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76240E" w:rsidRDefault="0076240E" w:rsidP="0076240E">
      <w:pPr>
        <w:pStyle w:val="Style2"/>
        <w:shd w:val="clear" w:color="CACACA" w:fill="FFFFFF"/>
        <w:spacing w:before="60" w:after="60"/>
        <w:jc w:val="left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76240E" w:rsidRDefault="0076240E" w:rsidP="0076240E">
      <w:pPr>
        <w:pStyle w:val="Style2"/>
        <w:shd w:val="clear" w:color="CACACA" w:fill="FFFFFF"/>
        <w:spacing w:before="60" w:after="60"/>
        <w:jc w:val="left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4407"/>
        <w:gridCol w:w="4407"/>
        <w:gridCol w:w="4408"/>
      </w:tblGrid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Abdelmajid</w:t>
            </w:r>
            <w:proofErr w:type="spellEnd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 Naceur (Coordinateur)</w:t>
            </w:r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ISEFC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UVT</w:t>
            </w:r>
          </w:p>
        </w:tc>
      </w:tr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Mohamed Ammar</w:t>
            </w:r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ISES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MANOUBA</w:t>
            </w:r>
          </w:p>
        </w:tc>
      </w:tr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Mustapha </w:t>
            </w: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Jeljeli</w:t>
            </w:r>
            <w:proofErr w:type="spellEnd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 (Rapporteur)</w:t>
            </w:r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ISSHT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MANAR</w:t>
            </w:r>
          </w:p>
        </w:tc>
      </w:tr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Nahed</w:t>
            </w:r>
            <w:proofErr w:type="spellEnd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Boukadida</w:t>
            </w:r>
            <w:proofErr w:type="spellEnd"/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ISSHT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MANAR</w:t>
            </w:r>
          </w:p>
        </w:tc>
      </w:tr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Selma </w:t>
            </w: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Derouich</w:t>
            </w:r>
            <w:proofErr w:type="spellEnd"/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FSHST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TUNIS</w:t>
            </w:r>
          </w:p>
        </w:tc>
      </w:tr>
      <w:tr w:rsidR="0076240E" w:rsidTr="00A226BA"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jc w:val="left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 xml:space="preserve">Yassine </w:t>
            </w:r>
            <w:proofErr w:type="spellStart"/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Zouari</w:t>
            </w:r>
            <w:proofErr w:type="spellEnd"/>
          </w:p>
        </w:tc>
        <w:tc>
          <w:tcPr>
            <w:tcW w:w="4407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FSHST</w:t>
            </w:r>
          </w:p>
        </w:tc>
        <w:tc>
          <w:tcPr>
            <w:tcW w:w="4408" w:type="dxa"/>
          </w:tcPr>
          <w:p w:rsidR="0076240E" w:rsidRDefault="0076240E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8"/>
                <w:szCs w:val="28"/>
                <w:lang w:val="fr-FR"/>
              </w:rPr>
              <w:t>TUNIS</w:t>
            </w:r>
          </w:p>
        </w:tc>
      </w:tr>
    </w:tbl>
    <w:p w:rsidR="0076240E" w:rsidRPr="00FA7EFA" w:rsidRDefault="0076240E" w:rsidP="0076240E">
      <w:pPr>
        <w:pStyle w:val="Style2"/>
        <w:shd w:val="clear" w:color="CACACA" w:fill="FFFFFF"/>
        <w:spacing w:before="60" w:after="60"/>
        <w:jc w:val="left"/>
        <w:rPr>
          <w:rFonts w:ascii="Calibri" w:hAnsi="Calibri"/>
          <w:b/>
          <w:bCs/>
          <w:spacing w:val="-4"/>
          <w:sz w:val="28"/>
          <w:szCs w:val="28"/>
          <w:lang w:val="fr-FR"/>
        </w:rPr>
      </w:pPr>
    </w:p>
    <w:p w:rsidR="0076240E" w:rsidRDefault="0076240E" w:rsidP="0076240E"/>
    <w:p w:rsidR="0076240E" w:rsidRPr="0076240E" w:rsidRDefault="0076240E">
      <w:pPr>
        <w:rPr>
          <w:b/>
          <w:sz w:val="28"/>
          <w:szCs w:val="28"/>
          <w:lang w:val="fr-FR"/>
        </w:rPr>
      </w:pPr>
    </w:p>
    <w:sectPr w:rsidR="0076240E" w:rsidRPr="0076240E" w:rsidSect="00FD5363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3B" w:rsidRDefault="008F0E3B" w:rsidP="00D73BCD">
      <w:pPr>
        <w:spacing w:after="0" w:line="240" w:lineRule="auto"/>
      </w:pPr>
      <w:r>
        <w:separator/>
      </w:r>
    </w:p>
  </w:endnote>
  <w:endnote w:type="continuationSeparator" w:id="0">
    <w:p w:rsidR="008F0E3B" w:rsidRDefault="008F0E3B" w:rsidP="00D7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900"/>
      <w:docPartObj>
        <w:docPartGallery w:val="Page Numbers (Bottom of Page)"/>
        <w:docPartUnique/>
      </w:docPartObj>
    </w:sdtPr>
    <w:sdtContent>
      <w:p w:rsidR="00857D18" w:rsidRDefault="00563FDF">
        <w:pPr>
          <w:pStyle w:val="Pieddepage"/>
          <w:jc w:val="center"/>
        </w:pPr>
        <w:fldSimple w:instr=" PAGE   \* MERGEFORMAT ">
          <w:r w:rsidR="00B54A9A">
            <w:rPr>
              <w:noProof/>
            </w:rPr>
            <w:t>1</w:t>
          </w:r>
        </w:fldSimple>
      </w:p>
    </w:sdtContent>
  </w:sdt>
  <w:p w:rsidR="00857D18" w:rsidRDefault="00857D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3B" w:rsidRDefault="008F0E3B" w:rsidP="00D73BCD">
      <w:pPr>
        <w:spacing w:after="0" w:line="240" w:lineRule="auto"/>
      </w:pPr>
      <w:r>
        <w:separator/>
      </w:r>
    </w:p>
  </w:footnote>
  <w:footnote w:type="continuationSeparator" w:id="0">
    <w:p w:rsidR="008F0E3B" w:rsidRDefault="008F0E3B" w:rsidP="00D7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18" w:rsidRPr="00D73BCD" w:rsidRDefault="00857D18">
    <w:pPr>
      <w:pStyle w:val="En-tte"/>
      <w:rPr>
        <w:lang w:val="fr-FR"/>
      </w:rPr>
    </w:pPr>
    <w:r w:rsidRPr="00D73BCD">
      <w:rPr>
        <w:lang w:val="fr-FR"/>
      </w:rPr>
      <w:t xml:space="preserve">COMMISSION NATIONALE SECTORIELLE DE PSYCHOLOGIE ET </w:t>
    </w:r>
    <w:r w:rsidR="001C7CD2">
      <w:rPr>
        <w:lang w:val="fr-FR"/>
      </w:rPr>
      <w:t>SCIENCES DE l’</w:t>
    </w:r>
    <w:r w:rsidRPr="00D73BCD">
      <w:rPr>
        <w:lang w:val="fr-FR"/>
      </w:rPr>
      <w:t>EDUCATION</w:t>
    </w:r>
  </w:p>
  <w:p w:rsidR="00857D18" w:rsidRPr="00D73BCD" w:rsidRDefault="00857D18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D75"/>
    <w:multiLevelType w:val="hybridMultilevel"/>
    <w:tmpl w:val="142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3948"/>
    <w:multiLevelType w:val="hybridMultilevel"/>
    <w:tmpl w:val="6AE2DFF0"/>
    <w:lvl w:ilvl="0" w:tplc="63FAC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463"/>
    <w:multiLevelType w:val="hybridMultilevel"/>
    <w:tmpl w:val="8EB8CC6E"/>
    <w:lvl w:ilvl="0" w:tplc="D7186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63"/>
    <w:rsid w:val="000313D7"/>
    <w:rsid w:val="00052412"/>
    <w:rsid w:val="000532C3"/>
    <w:rsid w:val="000A7071"/>
    <w:rsid w:val="0016733E"/>
    <w:rsid w:val="00172099"/>
    <w:rsid w:val="001802B2"/>
    <w:rsid w:val="001C7CD2"/>
    <w:rsid w:val="001F2F08"/>
    <w:rsid w:val="0020605F"/>
    <w:rsid w:val="0026329C"/>
    <w:rsid w:val="002B634B"/>
    <w:rsid w:val="002D517D"/>
    <w:rsid w:val="002E04BC"/>
    <w:rsid w:val="002E0EC1"/>
    <w:rsid w:val="003000D4"/>
    <w:rsid w:val="00350917"/>
    <w:rsid w:val="003801AF"/>
    <w:rsid w:val="00393A79"/>
    <w:rsid w:val="003D2334"/>
    <w:rsid w:val="003F480D"/>
    <w:rsid w:val="004059E1"/>
    <w:rsid w:val="00421EF8"/>
    <w:rsid w:val="00461A9A"/>
    <w:rsid w:val="004C41B5"/>
    <w:rsid w:val="004D1A3E"/>
    <w:rsid w:val="004F25FA"/>
    <w:rsid w:val="00540E96"/>
    <w:rsid w:val="00547728"/>
    <w:rsid w:val="00563FDF"/>
    <w:rsid w:val="005735EC"/>
    <w:rsid w:val="005C5A93"/>
    <w:rsid w:val="005E715A"/>
    <w:rsid w:val="005F07AD"/>
    <w:rsid w:val="006428ED"/>
    <w:rsid w:val="006A583A"/>
    <w:rsid w:val="006A69B5"/>
    <w:rsid w:val="00700AFA"/>
    <w:rsid w:val="0076240E"/>
    <w:rsid w:val="00790131"/>
    <w:rsid w:val="0081545B"/>
    <w:rsid w:val="00821C1D"/>
    <w:rsid w:val="00846E9B"/>
    <w:rsid w:val="008568A2"/>
    <w:rsid w:val="00857D18"/>
    <w:rsid w:val="008C2C3F"/>
    <w:rsid w:val="008F0E3B"/>
    <w:rsid w:val="00916512"/>
    <w:rsid w:val="0092388B"/>
    <w:rsid w:val="00927AEE"/>
    <w:rsid w:val="00932420"/>
    <w:rsid w:val="009566D6"/>
    <w:rsid w:val="00980758"/>
    <w:rsid w:val="0098327E"/>
    <w:rsid w:val="0099552D"/>
    <w:rsid w:val="009A6442"/>
    <w:rsid w:val="009D2159"/>
    <w:rsid w:val="00A04D53"/>
    <w:rsid w:val="00A52B25"/>
    <w:rsid w:val="00A768EE"/>
    <w:rsid w:val="00B33DB5"/>
    <w:rsid w:val="00B35682"/>
    <w:rsid w:val="00B54A9A"/>
    <w:rsid w:val="00C7186C"/>
    <w:rsid w:val="00C73B22"/>
    <w:rsid w:val="00C832DE"/>
    <w:rsid w:val="00C844A1"/>
    <w:rsid w:val="00C9203B"/>
    <w:rsid w:val="00C92CE9"/>
    <w:rsid w:val="00CC78FC"/>
    <w:rsid w:val="00D613D5"/>
    <w:rsid w:val="00D73BCD"/>
    <w:rsid w:val="00D7445F"/>
    <w:rsid w:val="00DA4CA4"/>
    <w:rsid w:val="00DC04DA"/>
    <w:rsid w:val="00E17620"/>
    <w:rsid w:val="00E22202"/>
    <w:rsid w:val="00E273C5"/>
    <w:rsid w:val="00E83E43"/>
    <w:rsid w:val="00ED1ACA"/>
    <w:rsid w:val="00F665F3"/>
    <w:rsid w:val="00F70956"/>
    <w:rsid w:val="00FA7EFA"/>
    <w:rsid w:val="00FD5363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50"/>
        <o:r id="V:Rule13" type="connector" idref="#_x0000_s1051"/>
        <o:r id="V:Rule14" type="connector" idref="#_x0000_s1048"/>
        <o:r id="V:Rule15" type="connector" idref="#_x0000_s1052"/>
        <o:r id="V:Rule16" type="connector" idref="#_x0000_s1049"/>
        <o:r id="V:Rule17" type="connector" idref="#_x0000_s1042"/>
        <o:r id="V:Rule18" type="connector" idref="#_x0000_s1043"/>
        <o:r id="V:Rule19" type="connector" idref="#_x0000_s1045"/>
        <o:r id="V:Rule20" type="connector" idref="#_x0000_s1044"/>
        <o:r id="V:Rule21" type="connector" idref="#_x0000_s1047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7E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53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73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BCD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3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BCD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BCD"/>
    <w:rPr>
      <w:rFonts w:ascii="Tahoma" w:hAnsi="Tahoma" w:cs="Tahoma"/>
      <w:sz w:val="16"/>
      <w:szCs w:val="16"/>
      <w:lang w:val="de-DE"/>
    </w:rPr>
  </w:style>
  <w:style w:type="character" w:styleId="lev">
    <w:name w:val="Strong"/>
    <w:basedOn w:val="Policepardfaut"/>
    <w:uiPriority w:val="22"/>
    <w:qFormat/>
    <w:rsid w:val="00A768EE"/>
    <w:rPr>
      <w:b/>
      <w:bCs/>
    </w:rPr>
  </w:style>
  <w:style w:type="paragraph" w:customStyle="1" w:styleId="Style2">
    <w:name w:val="Style 2"/>
    <w:basedOn w:val="Normal"/>
    <w:rsid w:val="00E83E4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59"/>
    <w:rsid w:val="00FA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89A2-7028-48FC-B68D-43928DD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sony-vaio</dc:creator>
  <cp:lastModifiedBy>sony-vaio</cp:lastModifiedBy>
  <cp:revision>5</cp:revision>
  <dcterms:created xsi:type="dcterms:W3CDTF">2019-06-16T09:19:00Z</dcterms:created>
  <dcterms:modified xsi:type="dcterms:W3CDTF">2019-06-16T10:35:00Z</dcterms:modified>
</cp:coreProperties>
</file>